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SN-21222 (Sachsen) — Aufgaben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Anstalt nimmt sämtliche Aufgaben wahr, die das Barrierefreiheitsstärkungsgesetz und die darauf beruhenden Verordnungen den Marktüberwachungsbehörden der Länder zuweisen.</w:t>
      </w:r>
    </w:p>
    <w:p>
      <w:r>
        <w:t xml:space="preserve">(2) Sie übernimmt dabei insbesondere folgende Aufgaben und Funktionen:</w:t>
      </w:r>
    </w:p>
    <w:p>
      <w:r>
        <w:t xml:space="preserve">1. Erstellung einer Marktüberwachungsstrategie nach § 20 Abs. 2 des Barrierefreiheitsstärkungsgesetzes ;</w:t>
      </w:r>
    </w:p>
    <w:p>
      <w:r>
        <w:t xml:space="preserve">2. zentraler Ansprechpartner für die zentrale Verbindungsstelle nach § 27 des Barrierefreiheitsstärkungsgesetzes einschließlich der Koordinierung von organisatorischen Anfragen über das Informations- und Kommunikationssystem gemäß Artikel 34 der Verordnung (EU) 2019/1020 des Europäischen Parlaments und des Rates vom 20. Juni 2019 über Marktüberwachung und die Konformität von Produkten sowie zur Änderung der Richtlinie 2004/42/EG und der Verordnungen (EG) Nr. 765/2008 und (EU) Nr. 305/2011 (ABl. L 169 vom 25.6.2019, S. 1), zuletzt geändert durch Verordnung (EU) 2024/1252 (ABl. L, 2024/1252, 3.5.2024);</w:t>
      </w:r>
    </w:p>
    <w:p>
      <w:r>
        <w:t xml:space="preserve">3. Information der Wirtschaftsakteure und der Öffentlichkeit über Fragen zum Barrierefreiheitsstärkungsgesetz , insbesondere zu seiner Anwendbarkeit und Umsetzung;</w:t>
      </w:r>
    </w:p>
    <w:p>
      <w:r>
        <w:t xml:space="preserve">4. Koordination von Maßnahmen zur Marktüberwachung von Produkten und Dienstleistungen und</w:t>
      </w:r>
    </w:p>
    <w:p>
      <w:r>
        <w:t xml:space="preserve">5. Mitteilung der Informationen gemäß § 36 des Barrierefreiheitsstärkungsgesetzes .</w:t>
      </w:r>
    </w:p>
    <w:p>
      <w:r>
        <w:t xml:space="preserve">(3) Die Anstalt kann sich zur Erfüllung ihrer Aufgaben Dritter bedienen.</w:t>
      </w:r>
    </w:p>
    <w:p>
      <w:r>
        <w:rPr>
          <w:color w:val="555555"/>
          <w:sz w:val="17"/>
        </w:rPr>
        <w:t xml:space="preserve">Zitiervorschlag: Artikel 3 SN-21222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https://recht.nulegal.eu/gesetze/SN-21222/3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