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SN-21222 (Sachsen) — Errichtung und Betrieb der Anstalt</w:t>
      </w:r>
    </w:p>
    <w:p>
      <w:r>
        <w:rPr>
          <w:color w:val="555555"/>
          <w:sz w:val="18"/>
        </w:rPr>
        <w:t xml:space="preserve">Staatsvertrag zur Aufgabenerfüllung nach dem Barrierefreiheitsstärkungsgesetz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Länder errichten gemeinsam zur Wahrnehmung der Aufgaben des Barrierefreiheitsstärkungsgesetzes eine rechtsfähige Anstalt des öffentlichen Rechts (Anstalt) mit Sitz in Sachsen-Anhalt (Sitzland). Träger der Anstalt sind die diesen Staatsvertrag unterzeichnenden Länder. Die Anstalt gilt als Stelle der mittelbaren Landesverwaltung des Sitzlandes.</w:t>
      </w:r>
    </w:p>
    <w:p>
      <w:r>
        <w:t xml:space="preserve">(2) Die Anstalt trägt den Namen „Marktüberwachungsstelle der Länder für die Barrierefreiheit von Produkten und Dienstleistungen“.</w:t>
      </w:r>
    </w:p>
    <w:p>
      <w:r>
        <w:t xml:space="preserve">(3) Für die Errichtung und den Betrieb der Anstalt findet das Recht des Sitzlandes Anwendung, soweit sich aus diesem Staatsvertrag nichts anderes ergibt.</w:t>
      </w:r>
    </w:p>
    <w:p>
      <w:r>
        <w:t xml:space="preserve">(4) Soweit dieser Staatsvertrag nichts anderes bestimmt, ist für die Durchführung von Verwaltungsverfahren und für die Verwaltungsvollstreckung das Recht des Sitzlandes anzuwenden.</w:t>
      </w:r>
    </w:p>
    <w:p>
      <w:r>
        <w:t xml:space="preserve">(5) Die Anstalt führt ein Dienstsiegel.</w:t>
      </w:r>
    </w:p>
    <w:p>
      <w:r>
        <w:t xml:space="preserve">(6) Die Anstalt gibt sich nach Maßgabe dieses Staatsvertrages eine Satzung. Die Satzung ist einstimmig zu beschließen. Die Satzung und deren Änderungen sind im Ministerialblatt des Landes Sachsen-Anhalt zu veröffentlichen.</w:t>
      </w:r>
    </w:p>
    <w:p>
      <w:r>
        <w:rPr>
          <w:color w:val="555555"/>
          <w:sz w:val="17"/>
        </w:rPr>
        <w:t xml:space="preserve">Zitiervorschlag: Artikel 2 SN-21222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https://recht.nulegal.eu/gesetze/SN-21222/2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