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Artikel 10 SN-21222 (Sachsen) — Finanzkontrolle</w:t>
      </w:r>
    </w:p>
    <w:p>
      <w:r>
        <w:rPr>
          <w:color w:val="555555"/>
          <w:sz w:val="18"/>
        </w:rPr>
        <w:t xml:space="preserve">Staatsvertrag zur Aufgabenerfüllung nach dem Barrierefreiheitsstärkungsgesetz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Die Landesrechnungshöfe der Länder sind berechtigt, die Haushalts- und Wirtschaftsführung der Anstalt zu prüfen.</w:t>
      </w:r>
    </w:p>
    <w:p>
      <w:r>
        <w:rPr>
          <w:color w:val="555555"/>
          <w:sz w:val="17"/>
        </w:rPr>
        <w:t xml:space="preserve">Zitiervorschlag: Artikel 10 SN-21222 (Sachsen)</w:t>
      </w:r>
    </w:p>
    <w:p>
      <w:r>
        <w:rPr>
          <w:color w:val="555555"/>
          <w:sz w:val="17"/>
        </w:rPr>
        <w:t xml:space="preserve">Quelle: revosax, abgerufen 27.08.2026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https://recht.nulegal.eu/gesetze/SN-21222/10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