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SN-21163 (Sachsen) — Inkrafttreten der Geschäftsordnung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Geschäftsordnung tritt am Tage nach der Veröffentlichung im Sächsischen Gesetz- und Verordnungsblatt in Kraft. Gleichzeitig tritt die Geschäftsordnung vom 18. Februar 1993 (SächsGVBl. S. 177), zuletzt geändert am 26. April 2013 (SächsGVBl. S. 327), außer Kraft.</w:t>
      </w:r>
    </w:p>
    <w:p>
      <w:r>
        <w:t xml:space="preserve">Leipzig, den 14. Februar 2025</w:t>
      </w:r>
    </w:p>
    <w:p>
      <w:r>
        <w:t xml:space="preserve">Grünberg</w:t>
      </w:r>
    </w:p>
    <w:p>
      <w:r>
        <w:t xml:space="preserve">Wahl</w:t>
      </w:r>
    </w:p>
    <w:p>
      <w:r>
        <w:t xml:space="preserve">Herberger</w:t>
      </w:r>
    </w:p>
    <w:p>
      <w:r>
        <w:t xml:space="preserve">Hoven</w:t>
      </w:r>
    </w:p>
    <w:p>
      <w:r>
        <w:t xml:space="preserve">Jäger</w:t>
      </w:r>
    </w:p>
    <w:p>
      <w:r>
        <w:t xml:space="preserve">Kirst</w:t>
      </w:r>
    </w:p>
    <w:p>
      <w:r>
        <w:t xml:space="preserve">Schurig</w:t>
      </w:r>
    </w:p>
    <w:p>
      <w:r>
        <w:t xml:space="preserve">Strewe</w:t>
      </w:r>
    </w:p>
    <w:p>
      <w:r>
        <w:t xml:space="preserve">Uhle</w:t>
      </w:r>
    </w:p>
    <w:p>
      <w:r>
        <w:rPr>
          <w:color w:val="555555"/>
          <w:sz w:val="17"/>
        </w:rPr>
        <w:t xml:space="preserve">Zitiervorschlag: § 22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