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SN-21163 (Sachsen) — Änderung der Geschäftsordnung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eine Änderung der Geschäftsordnung beschließt der Verfassungsgerichtshof mit der Mehrheit der mitwirkenden Mitglieder (§ 8 Absatz 2 des Sächsischen Verfassungsgerichtshofsgesetzes).</w:t>
      </w:r>
    </w:p>
    <w:p>
      <w:r>
        <w:t xml:space="preserve">(2) Jedes Mitglied kann die Änderung der Geschäftsordnung beantragen. Der Antrag soll schriftlich gestellt werden, einen Formulierungsvorschlag und eine Begründung enthalten.</w:t>
      </w:r>
    </w:p>
    <w:p>
      <w:r>
        <w:rPr>
          <w:color w:val="555555"/>
          <w:sz w:val="17"/>
        </w:rPr>
        <w:t xml:space="preserve">Zitiervorschlag: § 21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