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SN-21163 (Sachsen) — Mündliche Verhandlung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Termin zur mündlichen Verhandlung bestimmt der Präsident.</w:t>
      </w:r>
    </w:p>
    <w:p>
      <w:r>
        <w:t xml:space="preserve">(2) Zur mündlichen Verhandlung sind die Beteiligten von Amts wegen mit einer Frist von zwei Wochen zu laden. In dringenden Fällen kann der Präsident die Frist abkürzen.</w:t>
      </w:r>
    </w:p>
    <w:p>
      <w:r>
        <w:t xml:space="preserve">(3) Die Niederschrift über die mündliche Verhandlung wird durch einen von dem Präsidenten zu bestimmenden Urkundsbeamten der Geschäftsstelle aufgenommen. Sie wird von dem Präsidenten und dem Urkundsbeamten der Geschäftsstelle unterzeichnet.</w:t>
      </w:r>
    </w:p>
    <w:p>
      <w:r>
        <w:rPr>
          <w:color w:val="555555"/>
          <w:sz w:val="17"/>
        </w:rPr>
        <w:t xml:space="preserve">Zitiervorschlag: § 16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