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SN-21163 (Sachsen) — Verhinderung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ordentlichen Mitglieder des Verfassungsgerichtshofes unterrichten den Präsidenten, falls sie durch Urlaub, Krankheit oder aus anderen wichtigen Gründen an der Mitwirkung im Verfassungsgerichtshof gehindert sein werden.</w:t>
      </w:r>
    </w:p>
    <w:p>
      <w:r>
        <w:t xml:space="preserve">(2) Der Präsident stellt die Verhinderung aus anderen wichtigen Gründen im Sinne des Absatzes 1 förmlich fest.</w:t>
      </w:r>
    </w:p>
    <w:p>
      <w:r>
        <w:rPr>
          <w:color w:val="555555"/>
          <w:sz w:val="17"/>
        </w:rPr>
        <w:t xml:space="preserve">Zitiervorschlag: § 13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