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SN-21163 (Sachsen) — Beschwerdekammer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Vorsitz der Beschwerdekammer führt das dienstälteste Kammermitglied.</w:t>
      </w:r>
    </w:p>
    <w:p>
      <w:r>
        <w:t xml:space="preserve">(2) Für ein ausscheidendes Kammermitglied rückt das dienstälteste, bei gleichem Dienstalter das lebensältere Mitglied des Verfassungsgerichtshofes nach.</w:t>
      </w:r>
    </w:p>
    <w:p>
      <w:r>
        <w:t xml:space="preserve">(3) Die Mitglieder der Beschwerdekammer werden durch die übrigen Mitglieder des Verfassungsgerichtshofes in der Reihenfolge ihres Dienstalters vertreten. Bei mehreren Mitgliedern mit gleichem Dienstalter entscheidet das Lebensalter.</w:t>
      </w:r>
    </w:p>
    <w:p>
      <w:r>
        <w:t xml:space="preserve">(4) Für die Bestimmung des Dienstalters gilt § 2 Absatz 2 Satz 3.</w:t>
      </w:r>
    </w:p>
    <w:p>
      <w:r>
        <w:rPr>
          <w:color w:val="555555"/>
          <w:sz w:val="17"/>
        </w:rPr>
        <w:t xml:space="preserve">Zitiervorschlag: § 12a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https://recht.nulegal.eu/gesetze/SN-21163/12a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