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SN-21019 (Sachsen)</w:t>
      </w:r>
    </w:p>
    <w:p>
      <w:r>
        <w:rPr>
          <w:color w:val="555555"/>
          <w:sz w:val="18"/>
        </w:rPr>
        <w:t xml:space="preserve">Verordnung der Landesdirektion Sachsen zur Festsetzung des Hochwasserentstehungsgebietes „Oberlausitzer Bergland/Hohwald“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des § 76 Absatz 1 Satz 2 des Sächsischen Wassergesetzes vom 12. Juli 2013 (SächsGVBl. S. 503), das zuletzt durch Artikel 3 des Gesetzes vom 19. Juni 2024 (SächsGVBl. S. 636) geändert worden ist, in Verbindung mit § 78d Absatz 2 Satz 3 des Wasserhaushaltsgesetzes vom 31. Juli 2009 (BGBl. I S. 2585), das zuletzt durch Artikel 7 des Gesetzes vom 22. Dezember 2023 (BGBl. 2023 I Nr. 409) geändert worden ist, wird verordnet:</w:t>
      </w:r>
    </w:p>
    <w:p>
      <w:r>
        <w:rPr>
          <w:color w:val="555555"/>
          <w:sz w:val="17"/>
        </w:rPr>
        <w:t xml:space="preserve">Zitiervorschlag: Eingangsformel SN-21019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