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SN-21019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„Oberlausitzer Bergland/Hohwald“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(vergleiche § 3 Absatz 1) in Kraft.</w:t>
      </w:r>
    </w:p>
    <w:p>
      <w:r>
        <w:t xml:space="preserve">Dresden, den 6. August 2024</w:t>
      </w:r>
    </w:p>
    <w:p>
      <w:r>
        <w:t xml:space="preserve">Landesdirektion Sachsen</w:t>
      </w:r>
    </w:p>
    <w:p>
      <w:r>
        <w:t xml:space="preserve">Kraushaar</w:t>
      </w:r>
    </w:p>
    <w:p>
      <w:r>
        <w:t xml:space="preserve">Präsidentin</w:t>
      </w:r>
    </w:p>
    <w:p>
      <w:r>
        <w:rPr>
          <w:color w:val="555555"/>
          <w:sz w:val="17"/>
        </w:rPr>
        <w:t xml:space="preserve">Zitiervorschlag: § 4 SN-21019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https://recht.nulegal.eu/gesetze/SN-21019/4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