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SN-21019 (Sachsen) — Räumlicher Geltungsbereich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„Oberlausitzer Bergland/Hohwald“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Hochwasserentstehungsgebiet besteht aus einer zusammenhängenden Fläche von 4 765 Hektar. Es umfasst die in Anlage 1 aufgelisteten Flurstücke und Flurstücksteile.</w:t>
      </w:r>
    </w:p>
    <w:p>
      <w:r>
        <w:t xml:space="preserve">(2) Das Hochwasserentstehungsgebiet ist in Kartenform in Anlage 2 (eine Gesamtkarte), in Anlage 3 (eine Übersichtskarte über die Anordnung der Detailkarten) und in Anlage 4 (70 Detailkarten) als rote Fläche mit roter Umrandung dargestellt.</w:t>
      </w:r>
    </w:p>
    <w:p>
      <w:r>
        <w:t xml:space="preserve">(3) Maßgeblich für den Grenzverlauf des Hochwasserentstehungsgebietes ist die Linienaußenkante der in den Detailkarten dargestellten Umrandung. Veränderungen der Bezeichnungen oder Grenzen der Flurstücke verändern die Grenze des Hochwasserentstehungsgebietes nicht.</w:t>
      </w:r>
    </w:p>
    <w:p>
      <w:r>
        <w:t xml:space="preserve">(4) Das Flurstücksverzeichnis nach Absatz 1 und die Karten nach Absatz 2 sind Bestandteil der Verordnung.</w:t>
      </w:r>
    </w:p>
    <w:p>
      <w:r>
        <w:rPr>
          <w:color w:val="555555"/>
          <w:sz w:val="17"/>
        </w:rPr>
        <w:t xml:space="preserve">Zitiervorschlag: § 2 SN-21019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https://recht.nulegal.eu/gesetze/SN-21019/2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