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SN-20864 (Sachsen) — Ordnungswidrigkeiten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der Pflicht zur Informationsherausgabe nach § 3 Absatz 2 Satz 3 trotz Auskunftsverlangen einer anspruchsberechtigten Gemeinde nicht nachkommt,</w:t>
      </w:r>
    </w:p>
    <w:p>
      <w:r>
        <w:t xml:space="preserve">2. entgegen § 2 eine laufende Zahlung an anspruchsberechtigte Gemeinden trotz Fälligkeit nicht entrichtet,</w:t>
      </w:r>
    </w:p>
    <w:p>
      <w:r>
        <w:t xml:space="preserve">3. entgegen § 5 Absatz 7 Satz 1 die Anzeige einer Vereinbarung innerhalb eines Monats nach Abschluss unterlässt.</w:t>
      </w:r>
    </w:p>
    <w:p>
      <w:r>
        <w:t xml:space="preserve">(2) Die Ordnungswidrigkeit kann mit einer Geldbuße bis zu einhunderttausend Euro geahndet werden.</w:t>
      </w:r>
    </w:p>
    <w:p>
      <w:r>
        <w:rPr>
          <w:color w:val="555555"/>
          <w:sz w:val="17"/>
        </w:rPr>
        <w:t xml:space="preserve">Zitiervorschlag: § 8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