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SN-20864 (Sachsen) — Individualvereinbarung</w:t>
      </w:r>
    </w:p>
    <w:p>
      <w:r>
        <w:rPr>
          <w:color w:val="555555"/>
          <w:sz w:val="18"/>
        </w:rPr>
        <w:t xml:space="preserve">Erneuerbare-Energien-Ertragsbeteiligungsgesetz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Betreiber kann mit jeder nach § 3 anspruchsberechtigten Gemeinde anstelle der kalenderjährlichen Zahlung nach § 4 Absatz 1 oder Absatz 3 ein anderes Beteiligungsmodell schriftlich vereinbaren, dessen wirtschaftlicher Wert in einem angemessenen Verhältnis zum Wert der jeweiligen Zahlungsverpflichtungen gemäß § 4 stehen muss. Eine Vereinbarung ist insbesondere dann angemessen, wenn deren wirtschaftlicher Wert zum Zeitpunkt des Abschlusses der Vereinbarung zwischen dem halben und dem zweifachen Wert der jeweiligen Zahlungsverpflichtungen nach § 4 liegt.</w:t>
      </w:r>
    </w:p>
    <w:p>
      <w:r>
        <w:t xml:space="preserve">(2) Der Betreiber kann mit jeder nach § 3 anspruchsberechtigten Gemeinde anstelle der kalenderjährlichen Zahlung nach § 4 Absatz 2 ein anderes Beteiligungsmodell schriftlich vereinbaren, dessen wirtschaftlicher Wert in einem angemessenen Verhältnis zum Wert der Zahlungsverpflichtungen gemäß § 4 Absatz 2 stehen muss. Eine Vereinbarung ist insbesondere dann angemessen, wenn deren wirtschaftlicher Wert zum Zeitpunkt des Abschlusses der Vereinbarung zwischen dem halben Wert der Zahlungsverpflichtung nach § 4 und einem Wert in Höhe von 0,5 Cent pro Kilowattstunde für die tatsächlich eingespeiste Strommenge liegt.</w:t>
      </w:r>
    </w:p>
    <w:p>
      <w:r>
        <w:t xml:space="preserve">(3) Die Vereinbarung kann eine Beteiligungsoption für Einwohnerinnen und Einwohner umfassen. Der Betreiber ist frei in der Wahl der Beteiligungsoption. Es kommen insbesondere in Betracht:</w:t>
      </w:r>
    </w:p>
    <w:p>
      <w:r>
        <w:t xml:space="preserve">1. die Gründung einer Projektgesellschaft,</w:t>
      </w:r>
    </w:p>
    <w:p>
      <w:r>
        <w:t xml:space="preserve">2. das Angebot eines Sparproduktes oder Nachrangdarlehens,</w:t>
      </w:r>
    </w:p>
    <w:p>
      <w:r>
        <w:t xml:space="preserve">3. die vergünstigte Lieferung von erneuerbarem Strom oder</w:t>
      </w:r>
    </w:p>
    <w:p>
      <w:r>
        <w:t xml:space="preserve">4. eine jährliche Direktzahlung („Strompreisgutschrift“) an die Einwohnerinnen und Einwohner.</w:t>
      </w:r>
    </w:p>
    <w:p>
      <w:r>
        <w:t xml:space="preserve">(4) Darüber hinaus kann auch die finanzielle, gesellschaftsrechtliche oder anderweitige Beteiligung von vor Ort aktiven Bürgerenergiegesellschaften vereinbart werden, sofern diese Interesse bekunden.</w:t>
      </w:r>
    </w:p>
    <w:p>
      <w:r>
        <w:t xml:space="preserve">(5) Bestandteil einer solchen Vereinbarung kann eine Zahlung auf der Grundlage von § 6 des Erneuerbare-Energien-Gesetzes sein.</w:t>
      </w:r>
    </w:p>
    <w:p>
      <w:r>
        <w:t xml:space="preserve">(6) Für Anlagen, die bis zum 31. Dezember 2024 genehmigt wurden, kann der Betreiber eine Individualvereinbarung gemäß § 5 schließen.</w:t>
      </w:r>
    </w:p>
    <w:p>
      <w:r>
        <w:t xml:space="preserve">(7) Der Betreiber hat dem für erneuerbare Energien zuständigen Staatsministerium die Individualvereinbarung innerhalb eines Monats nach ihrem Abschluss vorzulegen. Das für erneuerbare Energien zuständige Staatsministerium ist berechtigt, die Individualvereinbarung zu veröffentlichen.</w:t>
      </w:r>
    </w:p>
    <w:p>
      <w:r>
        <w:rPr>
          <w:color w:val="555555"/>
          <w:sz w:val="17"/>
        </w:rPr>
        <w:t xml:space="preserve">Zitiervorschlag: § 5 SN-20864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https://recht.nulegal.eu/gesetze/SN-20864/5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