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SN-20864 (Sachsen) — Zahlungsverpflichtung</w:t>
      </w:r>
    </w:p>
    <w:p>
      <w:r>
        <w:rPr>
          <w:color w:val="555555"/>
          <w:sz w:val="18"/>
        </w:rPr>
        <w:t xml:space="preserve">Erneuerbare-Energien-Ertragsbeteiligungsgesetz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Betreiber von</w:t>
      </w:r>
    </w:p>
    <w:p>
      <w:r>
        <w:t xml:space="preserve">1. Windenergieanlagen ab einer installierten Leistung von einem Megawatt oder</w:t>
      </w:r>
    </w:p>
    <w:p>
      <w:r>
        <w:t xml:space="preserve">2. Freiflächenanlagen ab einer installierten Gesamtleistung von einem Megawatt</w:t>
      </w:r>
    </w:p>
    <w:p>
      <w:r>
        <w:t xml:space="preserve">sind zu jährlichen Zahlungen nach § 4 an die nach § 3 anspruchsberechtigten Gemeinden während des Anlagenbetriebes verpflichtet, sofern die Errichtung der jeweiligen Anlage nach dem 31. Dezember 2024 genehmigt wurde.</w:t>
      </w:r>
    </w:p>
    <w:p>
      <w:r>
        <w:rPr>
          <w:color w:val="555555"/>
          <w:sz w:val="17"/>
        </w:rPr>
        <w:t xml:space="preserve">Zitiervorschlag: § 2 SN-20864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https://recht.nulegal.eu/gesetze/SN-20864/2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