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SN-20864 (Sachsen) — Verordnungsermächtigung</w:t>
      </w:r>
    </w:p>
    <w:p>
      <w:r>
        <w:rPr>
          <w:color w:val="555555"/>
          <w:sz w:val="18"/>
        </w:rPr>
        <w:t xml:space="preserve">Erneuerbare-Energien-Ertragsbeteiligungsgesetz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erneuerbare Energien zuständige Staatsministerium wird ermächtigt, durch Rechtsverordnung nähere Vorschriften zu erlassen über Umfang, Inhalt und Form</w:t>
      </w:r>
    </w:p>
    <w:p>
      <w:r>
        <w:t xml:space="preserve">1. des Auskunftsverlangens nach § 3 Absatz 2 Satz 3,</w:t>
      </w:r>
    </w:p>
    <w:p>
      <w:r>
        <w:t xml:space="preserve">2. der Vorlagepflicht nach § 5 Absatz 7 Satz 1,</w:t>
      </w:r>
    </w:p>
    <w:p>
      <w:r>
        <w:t xml:space="preserve">3. der Informationspflicht nach § 7 Absatz 1.</w:t>
      </w:r>
    </w:p>
    <w:p>
      <w:r>
        <w:rPr>
          <w:color w:val="555555"/>
          <w:sz w:val="17"/>
        </w:rPr>
        <w:t xml:space="preserve">Zitiervorschlag: § 10 SN-20864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https://recht.nulegal.eu/gesetze/SN-20864/10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