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SN-20864 (Sachsen) — Begriffsbestimmungen</w:t>
      </w:r>
    </w:p>
    <w:p>
      <w:r>
        <w:rPr>
          <w:color w:val="555555"/>
          <w:sz w:val="18"/>
        </w:rPr>
        <w:t xml:space="preserve">Erneuerbare-Energien-Ertragsbeteiligungsgesetz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Sinne dieses Gesetzes sind</w:t>
      </w:r>
    </w:p>
    <w:p>
      <w:r>
        <w:t xml:space="preserve">1. „Betreiber“ bis zum Zeitpunkt der Inbetriebnahme auch diejenigen, welche die Genehmigung zur Errichtung einer Anlage im Sinne des § 2 beantragen sowie deren Rechtsnachfolger,</w:t>
      </w:r>
    </w:p>
    <w:p>
      <w:r>
        <w:t xml:space="preserve">2. „Freiflächenanlagen“ jede Solaranlage im Sinne des § 3 Nummer 22 des Erneuerbare-Energien-Gesetzes .</w:t>
      </w:r>
    </w:p>
    <w:p>
      <w:r>
        <w:rPr>
          <w:color w:val="555555"/>
          <w:sz w:val="17"/>
        </w:rPr>
        <w:t xml:space="preserve">Zitiervorschlag: § 1 SN-20864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https://recht.nulegal.eu/gesetze/SN-20864/1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