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SN-20855 (Sachsen) — Repräsentanz von Menschen mit Migrationshintergrund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soll in seinen Behörden bei der Personalgewinnung unter Beachtung des Vorrangs von Eignung, Befähigung und fachlicher Leistung gemäß Artikel 91 Absatz 2 der Verfassung des Freistaates Sachsen den Anteil der Beschäftigten mit Migrationshintergrund erhöhen.</w:t>
      </w:r>
    </w:p>
    <w:p>
      <w:r>
        <w:t xml:space="preserve">(2) Bei Stellenausschreibungen für Behörden des Freistaates Sachsen soll darauf hingewiesen werden, dass Bewerbungen von Menschen mit Migrationshintergrund ausdrücklich erwünscht sind.</w:t>
      </w:r>
    </w:p>
    <w:p>
      <w:r>
        <w:rPr>
          <w:color w:val="555555"/>
          <w:sz w:val="17"/>
        </w:rPr>
        <w:t xml:space="preserve">Zitiervorschlag: § 8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