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SN-20855 (Sachsen) — Stärkung migrationsgesellschaftlicher Kompetenz</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Behörden des Freistaates Sachsen fördern bei der Personalentwicklung die migrationsgesellschaftliche Kompetenz ihrer Bediensteten, insbesondere durch entsprechende Qualifizierungsmaßnahmen. Zur Gewährleistung einheitlicher Standards sollen hierzu insbesondere ressortübergreifende Fortbildungseinrichtungen in Anspruch genommen werden.</w:t>
      </w:r>
    </w:p>
    <w:p>
      <w:r>
        <w:t xml:space="preserve">(2) Die migrationsgesellschaftliche Kompetenz soll auch Gegenstand in der Aus-, Fort- und Weiterbildung von Lehrkräften, Erzieherinnen und Erziehern sein.</w:t>
      </w:r>
    </w:p>
    <w:p>
      <w:r>
        <w:rPr>
          <w:color w:val="555555"/>
          <w:sz w:val="17"/>
        </w:rPr>
        <w:t xml:space="preserve">Zitiervorschlag: § 7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