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SN-20855 (Sachsen) — Kommunale Integrations- und Teilhabeberichte</w:t>
      </w:r>
    </w:p>
    <w:p>
      <w:r>
        <w:rPr>
          <w:color w:val="555555"/>
          <w:sz w:val="18"/>
        </w:rPr>
        <w:t xml:space="preserve">Sächsisches Integrations- und Teilhabegesetz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unteren Integrationsbehörden sollen der obersten Integrationsbehörde ein Jahr nach Inkrafttreten dieses Gesetzes und sodann alle fünf Jahre einen kommunalen Integrations- und Teilhabebericht entsprechend § 25 Satz 2 und 4 vorlegen.</w:t>
      </w:r>
    </w:p>
    <w:p>
      <w:r>
        <w:rPr>
          <w:color w:val="555555"/>
          <w:sz w:val="17"/>
        </w:rPr>
        <w:t xml:space="preserve">Zitiervorschlag: § 26 SN-20855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https://recht.nulegal.eu/gesetze/SN-20855/26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