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SN-20855 (Sachsen) — Sächsischer Integrations- und Teilhabebericht</w:t>
      </w:r>
    </w:p>
    <w:p>
      <w:r>
        <w:rPr>
          <w:color w:val="555555"/>
          <w:sz w:val="18"/>
        </w:rPr>
        <w:t xml:space="preserve">Sächsisches Integrations- und 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Staatsregierung legt dem Landtag beginnend zwei Jahre nach Inkrafttreten dieses Gesetzes und sodann alle fünf Jahre einen Bericht zum Stand von Integration und Teilhabe von Menschen mit Migrationshintergrund vor. In dem Bericht werden die Entwicklung und die Zusammensetzung der Bevölkerung unter besonderer Berücksichtigung der Einwanderung sowie der Stand der Integration unter besonderer Berücksichtigung der Integrationsziele und der getroffenen integrationspolitischen Maßnahmen dargestellt. Berichte gemäß § 26 sind dem Bericht zu Grunde zu legen. In dem Bericht sollen auch Vorschläge zur Weiterführung und notwendigen Intensivierung oder Neuorientierung entwickelt und bewertet werden.</w:t>
      </w:r>
    </w:p>
    <w:p>
      <w:r>
        <w:rPr>
          <w:color w:val="555555"/>
          <w:sz w:val="17"/>
        </w:rPr>
        <w:t xml:space="preserve">Zitiervorschlag: § 25 SN-20855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https://recht.nulegal.eu/gesetze/SN-20855/25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