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23 SN-20855 (Sachsen) — Rechtsstellung</w:t>
      </w:r>
    </w:p>
    <w:p>
      <w:r>
        <w:rPr>
          <w:color w:val="555555"/>
          <w:sz w:val="18"/>
        </w:rPr>
        <w:t xml:space="preserve">Sächsisches Integrations- und Teilhabegesetz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oder der Sächsische Integrationsbeauftragte ist in der Ausübung ihrer oder seiner Tätigkeit unabhängig, weisungsfrei und nur dem Gesetz unterworfen.</w:t>
      </w:r>
    </w:p>
    <w:p>
      <w:r>
        <w:t xml:space="preserve">(2) Die Präsidentin oder der Präsident des Landtages ernennt die nach § 21 Absatz 1 Gewählte oder den nach § 21 Absatz 1 Gewählten.</w:t>
      </w:r>
    </w:p>
    <w:p>
      <w:r>
        <w:t xml:space="preserve">(3) Die oder der Sächsische Integrationsbeauftragte erhält eine erhöhte steuerpflichtige Grundentschädigung nach § 5 Absatz 2 des Abgeordnetengesetzes in der Fassung der Bekanntmachung vom 4. Juli 2000 (SächsGVBl. S. 326), das zuletzt durch Artikel 8 Absatz 12 des Gesetzes vom 6. Juli 2023 (SächsGVBl. S. 467) geändert worden ist, in der jeweils geltenden Fassung, und eine steuerfreie monatliche Amtsaufwandsentschädigung nach § 6 Absatz 6 Satz 1 des Abgeordnetengesetzes wie eine stellvertretende Präsidentin oder ein stellvertretender Präsident des Sächsischen Landtages. § 6 Absatz 6 Satz 2 des Abgeordnetengesetzes gilt entsprechend.</w:t>
      </w:r>
    </w:p>
    <w:p>
      <w:r>
        <w:rPr>
          <w:color w:val="555555"/>
          <w:sz w:val="17"/>
        </w:rPr>
        <w:t xml:space="preserve">Zitiervorschlag: § 23 SN-20855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https://recht.nulegal.eu/gesetze/SN-20855/23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