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SN-20855 (Sachsen) — Geltungsbereich</w:t>
      </w:r>
    </w:p>
    <w:p>
      <w:r>
        <w:rPr>
          <w:color w:val="555555"/>
          <w:sz w:val="18"/>
        </w:rPr>
        <w:t xml:space="preserve">Sächsisches Integrations- und Teilhabegesetz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Behörden des Freistaates Sachsen und die seiner Aufsicht unterstehenden Körperschaften, Anstalten und Stiftungen des öffentlichen Rechts setzen im Rahmen ihrer Zuständigkeiten und der geltenden Gesetze die in § 1 genannten Ziele um. Dies gilt nicht für</w:t>
      </w:r>
    </w:p>
    <w:p>
      <w:r>
        <w:t xml:space="preserve">1. die Hochschulen nach § 1 Absatz 1 Satz 1 des Sächsischen Hochschulgesetzes vom 31. Mai 2023 (SächsGVBl. S. 329), das zuletzt durch Artikel 2 des Gesetzes vom 31. Januar 2024 (SächsGVBl. S. 83) geändert worden ist,</w:t>
      </w:r>
    </w:p>
    <w:p>
      <w:r>
        <w:t xml:space="preserve">2. die sächsischen Sparkassen,</w:t>
      </w:r>
    </w:p>
    <w:p>
      <w:r>
        <w:t xml:space="preserve">3. die Sachsenfinanzgruppe und</w:t>
      </w:r>
    </w:p>
    <w:p>
      <w:r>
        <w:t xml:space="preserve">4. die Sächsische Aufbaubank – Förderbank –.</w:t>
      </w:r>
    </w:p>
    <w:p>
      <w:r>
        <w:t xml:space="preserve">Soweit sie in Verwaltungsangelegenheiten tätig werden, gilt Satz 1 auch für den Landtag sowie die sächsischen Gerichte und Staatsanwaltschaften. Satz 1 findet keine Anwendung auf die in der Bundesnotarordnung geregelten Berufe sowie auf Körperschaften, Anstalten und Stiftungen des öffentlichen Rechts, die einer länderübergreifenden Aufsicht mit Beteiligung des Freistaates Sachsen unterstehen.</w:t>
      </w:r>
    </w:p>
    <w:p>
      <w:r>
        <w:rPr>
          <w:color w:val="555555"/>
          <w:sz w:val="17"/>
        </w:rPr>
        <w:t xml:space="preserve">Zitiervorschlag: § 2 SN-20855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https://recht.nulegal.eu/gesetze/SN-20855/2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