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SN-2081 (Sachsen)</w:t>
      </w:r>
    </w:p>
    <w:p>
      <w:r>
        <w:rPr>
          <w:color w:val="555555"/>
          <w:sz w:val="18"/>
        </w:rPr>
        <w:t xml:space="preserve">Gesetz zu dem Staatsvertrag über den Ostdeutschen Sparkassen- und Giroverband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der Staatsvertrag nach seinem § 8 in Kraft tritt, ist im Sächsischen Gesetz- und Verordnungsblatt bekanntzugeben.</w:t>
      </w:r>
    </w:p>
    <w:p>
      <w:r>
        <w:t xml:space="preserve">Das vorstehende Gesetz wird hiermit ausgefertigt und ist zu verkünden.</w:t>
      </w:r>
    </w:p>
    <w:p>
      <w:r>
        <w:t xml:space="preserve">Dresden, den 21. April 1993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In Vertretung</w:t>
      </w:r>
    </w:p>
    <w:p>
      <w:r>
        <w:t xml:space="preserve">Steffen Heitmann</w:t>
      </w:r>
    </w:p>
    <w:p>
      <w:r>
        <w:t xml:space="preserve">Der Staatsminister der Justiz</w:t>
      </w:r>
    </w:p>
    <w:p>
      <w:r>
        <w:t xml:space="preserve">Der Staatsminister der Finanzen</w:t>
      </w:r>
    </w:p>
    <w:p>
      <w:r>
        <w:t xml:space="preserve">In Vertretung</w:t>
      </w:r>
    </w:p>
    <w:p>
      <w:r>
        <w:t xml:space="preserve">Friedbert Groß</w:t>
      </w:r>
    </w:p>
    <w:p>
      <w:r>
        <w:t xml:space="preserve">Der Staatsminister für Kultus</w:t>
      </w:r>
    </w:p>
    <w:p>
      <w:r>
        <w:rPr>
          <w:color w:val="555555"/>
          <w:sz w:val="17"/>
        </w:rPr>
        <w:t xml:space="preserve">Zitiervorschlag: Artikel 2 SN-2081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https://recht.nulegal.eu/gesetze/SN-2081/2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