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SN-20250 (Sachsen) — Zuwendungen im Bereich Kinder und Jugendliche</w:t>
      </w:r>
    </w:p>
    <w:p>
      <w:r>
        <w:rPr>
          <w:color w:val="555555"/>
          <w:sz w:val="18"/>
        </w:rPr>
        <w:t xml:space="preserve">Sächsische Kommunalpauschalenverordnung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Gefördert werden Maßnahmen zur Stärkung der kommunalen Jugendhilfearbeit.</w:t>
      </w:r>
    </w:p>
    <w:p>
      <w:r>
        <w:t xml:space="preserve">(2) Die Höhe der Zuwendung nach Absatz 1 ergibt sich aus dem Verhältnis der am 31. Dezember des Vorjahres der Mitteilung nach § 11 Absatz 2 Satz 2 im Gebiet des Zuwendungsempfängers wohnenden jungen Menschen zur Gesamtzahl aller im Freistaat Sachsen zu diesem Zeitpunkt wohnenden jungen Menschen multipliziert mit der Verteilungsmasse. Junge Menschen in diesem Sinne sind solche nach § 7 Absatz 1 Nummer 4 des Achten Buches Sozialgesetzbuch .</w:t>
      </w:r>
    </w:p>
    <w:p>
      <w:r>
        <w:rPr>
          <w:color w:val="555555"/>
          <w:sz w:val="17"/>
        </w:rPr>
        <w:t xml:space="preserve">Zitiervorschlag: § 7 SN-20250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https://recht.nulegal.eu/gesetze/SN-20250/7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