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SN-20250 (Sachsen) — Zuwendungen im Bereich seniorenpolitischer Arbeit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Gefördert werden</w:t>
      </w:r>
    </w:p>
    <w:p>
      <w:r>
        <w:t xml:space="preserve">1. seniorenpolitische kommunale Beratungsstellen, mit Ausnahme von deren laufenden Personal- und Sachausgaben,</w:t>
      </w:r>
    </w:p>
    <w:p>
      <w:r>
        <w:t xml:space="preserve">2. Maßnahmen der kommunalen Seniorenbeauftragten und der Seniorenbeiräte, mit Ausnahme von deren laufenden Personal- und Sachausgaben,</w:t>
      </w:r>
    </w:p>
    <w:p>
      <w:r>
        <w:t xml:space="preserve">3. Maßnahmen zur Verbesserung der Teilhabe älterer Menschen,</w:t>
      </w:r>
    </w:p>
    <w:p>
      <w:r>
        <w:t xml:space="preserve">4. generationenübergreifende Maßnahmen mit älteren Menschen,</w:t>
      </w:r>
    </w:p>
    <w:p>
      <w:r>
        <w:t xml:space="preserve">5. Maßnahmen für seniorengerechte Quartiersentwicklung sowie</w:t>
      </w:r>
    </w:p>
    <w:p>
      <w:r>
        <w:t xml:space="preserve">6. die Erstellung und Evaluierung kommunaler Fachpläne für ältere Menschen.</w:t>
      </w:r>
    </w:p>
    <w:p>
      <w:r>
        <w:t xml:space="preserve">(2) Die Höhe der Zuwendung nach Absatz 1 ergibt sich aus dem Verhältnis der Verteilungsmasse zur Anzahl der Zuwendungsempfänger.</w:t>
      </w:r>
    </w:p>
    <w:p>
      <w:r>
        <w:rPr>
          <w:color w:val="555555"/>
          <w:sz w:val="17"/>
        </w:rPr>
        <w:t xml:space="preserve">Zitiervorschlag: § 6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