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SN-20250 (Sachsen) — Zuwendungen im Bereich der Psychiatrie und Suchthilfe</w:t>
      </w:r>
    </w:p>
    <w:p>
      <w:r>
        <w:rPr>
          <w:color w:val="555555"/>
          <w:sz w:val="18"/>
        </w:rPr>
        <w:t xml:space="preserve">Sächsische Kommunalpauschalenverordnung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Gefördert wird die Unterstützung folgender Einrichtungen der gemeindepsychiatrischen Verbunde:</w:t>
      </w:r>
    </w:p>
    <w:p>
      <w:r>
        <w:t xml:space="preserve">1. Sozialpsychiatrische Dienste, psychosoziale Kontakt- und Beratungsstellen und</w:t>
      </w:r>
    </w:p>
    <w:p>
      <w:r>
        <w:t xml:space="preserve">2. Suchtberatungs- und Suchtbehandlungsstellen.</w:t>
      </w:r>
    </w:p>
    <w:p>
      <w:r>
        <w:t xml:space="preserve">(2) Die Zuwendung setzt voraus, dass</w:t>
      </w:r>
    </w:p>
    <w:p>
      <w:r>
        <w:t xml:space="preserve">1. der Sozialpsychiatrische Dienst nach Absatz 1 Nummer 1 unter Leitung einer Person steht, welche die Voraussetzungen nach § 11 Absatz 3 und 4 des Sächsischen Psychisch-Kranken-Hilfe-Gesetzes vom 22. Juli 2024 (SächsGVBl. S. 673), in der jeweils geltenden Fassung, erfüllt, und</w:t>
      </w:r>
    </w:p>
    <w:p>
      <w:r>
        <w:t xml:space="preserve">2. die Einrichtungen nach Absatz 1 Nummer 1 an der Psychiatrieberichterstattung gemäß § 6 in Verbindung mit § 16 Absatz 2 und 3 des Sächsischen Psychisch-Kranken-Hilfe-Gesetzes und ergänzenden Vorgaben des Staatsministeriums für Soziales und Gesellschaftlichen Zusammenhalt teilnehmen.</w:t>
      </w:r>
    </w:p>
    <w:p>
      <w:r>
        <w:t xml:space="preserve">(3) Die Zuwendung nach Absatz 1 Nummer 2 setzt voraus, dass die Einrichtungen gemäß § 6 in Verbindung mit § 16 Absatz 4 des Psychisch-Kranken-Hilfe-Gesetzes an der Berichterstattung im Rahmen der Deutschen Suchthilfestatistik teilnehmen.</w:t>
      </w:r>
    </w:p>
    <w:p>
      <w:r>
        <w:t xml:space="preserve">(4) Die Höhe der Zuwendung nach Absatz 1 ergibt sich aus dem Verhältnis der Einwohnerzahl des Zuwendungsempfängers zur Gesamteinwohnerzahl aller Zuwendungsempfänger multipliziert mit der Verteilungsmasse.</w:t>
      </w:r>
    </w:p>
    <w:p>
      <w:r>
        <w:rPr>
          <w:color w:val="555555"/>
          <w:sz w:val="17"/>
        </w:rPr>
        <w:t xml:space="preserve">Zitiervorschlag: § 4 SN-20250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https://recht.nulegal.eu/gesetze/SN-20250/4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