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SN-20250 (Sachsen) — Inkrafttreten, Außerkrafttreten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Sächsische Kommunalpauschalenverordnung vom 14. Oktober 2021 (SächsGVBl. S. 1221) außer Kraft.</w:t>
      </w:r>
    </w:p>
    <w:p>
      <w:r>
        <w:t xml:space="preserve">Dresden, den 27. September 2023</w:t>
      </w:r>
    </w:p>
    <w:p>
      <w:r>
        <w:t xml:space="preserve">Die Staatsministerin für Soziales und Gesellschaftlichen Zusammenhalt</w:t>
      </w:r>
    </w:p>
    <w:p>
      <w:r>
        <w:t xml:space="preserve">Petra Köpping</w:t>
      </w:r>
    </w:p>
    <w:p>
      <w:r>
        <w:rPr>
          <w:color w:val="555555"/>
          <w:sz w:val="17"/>
        </w:rPr>
        <w:t xml:space="preserve">Zitiervorschlag: § 17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