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SN-20250 (Sachsen) — Weiterleitung der Zuwendung</w:t>
      </w:r>
    </w:p>
    <w:p>
      <w:r>
        <w:rPr>
          <w:color w:val="555555"/>
          <w:sz w:val="18"/>
        </w:rPr>
        <w:t xml:space="preserve">Sächsische Kommunalpauschalenverordnung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Zuwendungsempfänger darf als Erstempfänger der Zuwendung diese zur Erfüllung des Zuwendungszwecks ganz oder teilweise in öffentlich-rechtlicher Form an Dritte weiterleiten.</w:t>
      </w:r>
    </w:p>
    <w:p>
      <w:r>
        <w:t xml:space="preserve">(2) Er hat sicherzustellen, dass die für ihn maßgebenden Bestimmungen des Zuwendungsbescheids, soweit zutreffend, auch den Dritten auferlegt werden.</w:t>
      </w:r>
    </w:p>
    <w:p>
      <w:r>
        <w:rPr>
          <w:color w:val="555555"/>
          <w:sz w:val="17"/>
        </w:rPr>
        <w:t xml:space="preserve">Zitiervorschlag: § 13 SN-20250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https://recht.nulegal.eu/gesetze/SN-20250/13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