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SN-20250 (Sachsen) — Auszahlung und Verwendung</w:t>
      </w:r>
    </w:p>
    <w:p>
      <w:r>
        <w:rPr>
          <w:color w:val="555555"/>
          <w:sz w:val="18"/>
        </w:rPr>
        <w:t xml:space="preserve">Sächsische Kommunalpauschalenverordnung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Bewilligungsstelle zahlt die Zuwendungen in zwei Raten aus, und zwar spätestens zum 1. März und zum 1. Juli des jeweiligen Haushaltsjahres. Im Fall des § 11 Absatz 2 Satz 3 kann die Bewilligungsstelle eine dritte Auszahlung im laufenden Haushaltsjahr vornehmen.</w:t>
      </w:r>
    </w:p>
    <w:p>
      <w:r>
        <w:t xml:space="preserve">(2) Die Auszahlung kann zurückbehalten werden, solange der Zuwendungsempfänger einen Verwendungsnachweis für vorangegangene Zuwendungen nicht fristgerecht erbracht hat.</w:t>
      </w:r>
    </w:p>
    <w:p>
      <w:r>
        <w:t xml:space="preserve">(3) Die Zuwendung ist zweckentsprechend zu verwenden.</w:t>
      </w:r>
    </w:p>
    <w:p>
      <w:r>
        <w:rPr>
          <w:color w:val="555555"/>
          <w:sz w:val="17"/>
        </w:rPr>
        <w:t xml:space="preserve">Zitiervorschlag: § 12 SN-20250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https://recht.nulegal.eu/gesetze/SN-20250/12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