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SN-20250 (Sachsen) — Förderfähige Ausgaben</w:t>
      </w:r>
    </w:p>
    <w:p>
      <w:r>
        <w:rPr>
          <w:color w:val="555555"/>
          <w:sz w:val="18"/>
        </w:rPr>
        <w:t xml:space="preserve">Sächsische Kommunalpauschalenverordnung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den Förderbereichen nach den §§ 1 bis 7 sind Personal- und Sachausgaben förderfähig. Von der Förderung ausgeschlossen sind Baumaßnahmen, der Erwerb von unbeweglichen Sachen und der Erwerb von Fahrzeugen.</w:t>
      </w:r>
    </w:p>
    <w:p>
      <w:r>
        <w:rPr>
          <w:color w:val="555555"/>
          <w:sz w:val="17"/>
        </w:rPr>
        <w:t xml:space="preserve">Zitiervorschlag: § 10 SN-20250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https://recht.nulegal.eu/gesetze/SN-20250/10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