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SN-20250 (Sachsen) — Zuwendungen im Bereich der Pflege</w:t>
      </w:r>
    </w:p>
    <w:p>
      <w:r>
        <w:rPr>
          <w:color w:val="555555"/>
          <w:sz w:val="18"/>
        </w:rPr>
        <w:t xml:space="preserve">Sächsische Kommunalpauschalenverordnung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Gefördert werden</w:t>
      </w:r>
    </w:p>
    <w:p>
      <w:r>
        <w:t xml:space="preserve">1. die Verbesserung der Versorgung und Teilhabe Pflegebedürftiger vor Ort durch regionale Pflegebudgets sowie</w:t>
      </w:r>
    </w:p>
    <w:p>
      <w:r>
        <w:t xml:space="preserve">2. Pflegekoordinatoren.</w:t>
      </w:r>
    </w:p>
    <w:p>
      <w:r>
        <w:t xml:space="preserve">(2) Die Höhe der Zuwendung nach Absatz 1 ergibt sich aus dem Verhältnis der Verteilungsmasse nach § 9 Absatz 1 zur Anzahl der Zuwendungsempfänger.</w:t>
      </w:r>
    </w:p>
    <w:p>
      <w:r>
        <w:rPr>
          <w:color w:val="555555"/>
          <w:sz w:val="17"/>
        </w:rPr>
        <w:t xml:space="preserve">Zitiervorschlag: § 1 SN-20250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https://recht.nulegal.eu/gesetze/SN-20250/1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