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SN-20149 (Sachsen)</w:t>
      </w:r>
    </w:p>
    <w:p>
      <w:r>
        <w:rPr>
          <w:color w:val="555555"/>
          <w:sz w:val="18"/>
        </w:rPr>
        <w:t xml:space="preserve">Sächsische Immissionsschutz-Zuständigkeitsverordnung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</w:t>
      </w:r>
    </w:p>
    <w:p>
      <w:r>
        <w:t xml:space="preserve">– des § 4 Absatz 1 des Ausführungsgesetzes zum Bundes-Immissionsschutzgesetz und zum Benzinbleigesetz vom 4. Juli 1994 (SächsGVBl. S. 1281), der durch Artikel 1 des Gesetzes vom 23. März 2022 (SächsGVBl. S. 256) eingefügt worden ist,</w:t>
      </w:r>
    </w:p>
    <w:p>
      <w:r>
        <w:t xml:space="preserve">– des § 4 Absatz 1 in Verbindung mit Absatz 2 des Ausführungsgesetzes zum Bundes-Immissionsschutzgesetz und zum Benzinbleigesetz vom 4. Juli 1994 (SächsGVBl. S. 1281), die durch Artikel 1 des Gesetzes vom 23. März 2022 (SächsGVBl. S. 256) eingefügt worden sind, im Einvernehmen mit dem Staatsministerium für Wirtschaft, Arbeit und Verkehr sowie</w:t>
      </w:r>
    </w:p>
    <w:p>
      <w:r>
        <w:t xml:space="preserve">– des § 16 Absatz 1 Satz 2 Nummer 2 des Sächsischen Verwaltungsorganisationsgesetzes vom 25. November 2003 (SächsGVBl. S. 899) mit Zustimmung der Staatsregierung</w:t>
      </w:r>
    </w:p>
    <w:p>
      <w:r>
        <w:t xml:space="preserve">verordnet das Staatsministerium für Energie, Klimaschutz, Umwelt und Landwirtschaft:</w:t>
      </w:r>
    </w:p>
    <w:p>
      <w:r>
        <w:rPr>
          <w:color w:val="555555"/>
          <w:sz w:val="17"/>
        </w:rPr>
        <w:t xml:space="preserve">Zitiervorschlag: Eingangsformel SN-20149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https://recht.nulegal.eu/gesetze/SN-20149/eingangsformel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