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SN-20149 (Sachsen) — Zuständigkeit der Landesdirektion Sachsen</w:t>
      </w:r>
    </w:p>
    <w:p>
      <w:r>
        <w:rPr>
          <w:color w:val="555555"/>
          <w:sz w:val="18"/>
        </w:rPr>
        <w:t xml:space="preserve">Sächsische Immissionsschutz-Zuständigkeitsverordnung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Landesdirektion Sachsen ist die zuständige Behörde</w:t>
      </w:r>
    </w:p>
    <w:p>
      <w:r>
        <w:t xml:space="preserve">1. für die Wahrnehmung der Aufgaben des Landkreises oder der Kreisfreien Stadt für eine immissionsschutzrechtlich genehmigungsbedürftige Anlage, wenn der Landkreis oder die Kreisfreie Stadt</w:t>
      </w:r>
    </w:p>
    <w:p>
      <w:r>
        <w:t xml:space="preserve">a)</w:t>
      </w:r>
    </w:p>
    <w:p>
      <w:r>
        <w:t xml:space="preserve">selbst beteiligt ist im Sinne von § 1 des Gesetzes zur Regelung des Verwaltungsverfahrens- und des Verwaltungszustellungsrechts für den Freistaat Sachsen vom 19. Mai 2010 (SächsGVBl. S. 142), das durch Artikel 3 des Gesetzes vom 12. Juli 2013 (SächsGVBl. S. 503) geändert worden ist, in Verbindung mit § 13 des Verwaltungsverfahrensgesetzes in der Fassung der Bekanntmachung vom 23. Januar 2003 (BGBl. I S. 102), das zuletzt durch Artikel 24 Absatz 3 des Gesetzes vom 25. Juni 2021 (BGBl. I S. 2154) geändert worden ist, in den jeweils geltenden Fassungen, oder</w:t>
      </w:r>
    </w:p>
    <w:p>
      <w:r>
        <w:t xml:space="preserve">b)</w:t>
      </w:r>
    </w:p>
    <w:p>
      <w:r>
        <w:t xml:space="preserve">unmittelbar oder mittelbar an einem Unternehmen beteiligt ist, das die immissionsschutzrechtlich genehmigungsbedürftige Anlage betreibt,</w:t>
      </w:r>
    </w:p>
    <w:p>
      <w:r>
        <w:t xml:space="preserve">2. für die Ausführung der in § 2 Absatz 1 Satz 1 des Ausführungsgesetzes zum Bundes-Immissionsschutzgesetz und zum Benzinbleigesetz vom 4. Juli 1994 (SächsGVBl. S. 1281), das zuletzt durch Artikel 1 des Gesetzes vom 23. März 2022 (SächsGVBl. S.256) geändert worden ist, in der jeweils geltenden Fassung, genannten Rechtsvorschriften mit Ausnahme der in den §§ 1, 3 und 4 dieser Verordnung geregelten Fälle, wenn die Vorschriften angewendet werden auf</w:t>
      </w:r>
    </w:p>
    <w:p>
      <w:r>
        <w:t xml:space="preserve">a)</w:t>
      </w:r>
    </w:p>
    <w:p>
      <w:r>
        <w:t xml:space="preserve">einen Betriebsbereich nach § 3 Absatz 5a des Bundes-Immissionsschutzgesetzes oder</w:t>
      </w:r>
    </w:p>
    <w:p>
      <w:r>
        <w:t xml:space="preserve">b)</w:t>
      </w:r>
    </w:p>
    <w:p>
      <w:r>
        <w:t xml:space="preserve">eine Anlage im Anwendungsbereich des Treibhausgas-Emissionshandelsgesetzes vom 21. Juli 2011 (BGBl. I S. 1475), das zuletzt durch Artikel 18 des Gesetzes vom 10. August 2021 (BGBl. I S. 3436) geändert worden ist, in der jeweils geltenden Fassung;</w:t>
      </w:r>
    </w:p>
    <w:p>
      <w:r>
        <w:t xml:space="preserve">dies gilt für den gesamten Standort oder Teil des Standortes, der unter der Aufsicht eines Betreibers steht und auf dem sich der Betriebsbereich oder die Anlage im Anwendungsbereich des Treibhausgas-Emissionshandelsgesetzes befindet,</w:t>
      </w:r>
    </w:p>
    <w:p>
      <w:r>
        <w:t xml:space="preserve">3. für die Überwachung der Anforderungen an Kraftstoffe nach § 18 Absatz 1 in Verbindung mit den §§ 3 bis 9a sowie für die Überwachung nach § 18 Absatz 3 und § 19 Absatz 1 der Verordnung über die Beschaffenheit und die Auszeichnung der Qualitäten von Kraft- und Brennstoffen ,</w:t>
      </w:r>
    </w:p>
    <w:p>
      <w:r>
        <w:t xml:space="preserve">4. für die Marktüberwachung von Verbrennungsmotoren für nicht für den Straßenverkehr bestimmte mobile Maschinen und Geräte, mit Ausnahme von Schienenfahrzeugen und Binnenschiffen, nach § 4 Satz 1 der Verordnung zur Durchführung der unionsrechtlichen Verordnung über Emissionsgrenzwerte und die Typgenehmigung für Verbrennungsmotoren für nicht für den Straßenverkehr bestimmte mobile Maschinen und Geräte vom 21. Juli 2021 (BGBl. I S. 3125), in der jeweils geltenden Fassung, und den in § 2 Absatz 2 des Ausführungsgesetzes zum Bundes-Immissionsschutzgesetz und zum Benzinbleigesetz genannten Rechtsvorschriften sowie</w:t>
      </w:r>
    </w:p>
    <w:p>
      <w:r>
        <w:t xml:space="preserve">5. nach § 4 des Treibhausgas-Emissionshandelsgesetzes für genehmigungsbedürftige Anlagen nach § 4 Absatz 1 Satz 3 des Bundes-Immissionsschutzgesetzes .</w:t>
      </w:r>
    </w:p>
    <w:p>
      <w:r>
        <w:rPr>
          <w:color w:val="555555"/>
          <w:sz w:val="17"/>
        </w:rPr>
        <w:t xml:space="preserve">Zitiervorschlag: § 2 SN-20149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https://recht.nulegal.eu/gesetze/SN-20149/2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