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SN-20149 (Sachsen) — Zuständigkeit des Staatsministeriums für Energie, Klimaschutz, Umwelt und Landwirtschaft</w:t>
      </w:r>
    </w:p>
    <w:p>
      <w:r>
        <w:rPr>
          <w:color w:val="555555"/>
          <w:sz w:val="18"/>
        </w:rPr>
        <w:t xml:space="preserve">Sächsische Immissionsschutz-Zuständigkeitsverordnung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Staatsministerium für Energie, Klimaschutz, Umwelt und Landwirtschaft ist die zuständige Behörde</w:t>
      </w:r>
    </w:p>
    <w:p>
      <w:r>
        <w:t xml:space="preserve">1. für die Erstellung und Zugänglichmachung des Verfahrenshandbuchs nach § 10 Absatz 5a Nummer 2 und § 23b Absatz 3a Nummer 2 des Bundes-Immissionsschutzgesetzes in der Fassung der Bekanntmachung vom 17. Mai 2013 (BGBl. I S. 1274; 2021 I S. 123), das zuletzt durch Artikel 2 Absatz 3 des Gesetzes vom 19. Oktober 2022 (BGBl. I S. 1792) geändert worden ist, in der jeweils geltenden Fassung, soweit nicht die einheitliche Stelle zuständig ist,</w:t>
      </w:r>
    </w:p>
    <w:p>
      <w:r>
        <w:t xml:space="preserve">2. für die Entgegennahme der Übersichten über die Ergebnisse der Messungen nach § 16 Satz 2 und § 17 Absatz 3 der Verordnung über kleine und mittlere Feuerungsanlagen vom 26. Januar 2010 (BGBl. I S. 38), die zuletzt durch Artikel 1 der Verordnung vom 13. Oktober 2021 (BGBl. I S. 4676) geändert worden ist, in der jeweils geltenden Fassung,</w:t>
      </w:r>
    </w:p>
    <w:p>
      <w:r>
        <w:t xml:space="preserve">3. nach § 17 Absatz 2 Satz 1 der Verordnung zur Emissionsbegrenzung von leichtflüchtigen halogenierten organischen Verbindungen vom 10. Dezember 1990 (BGBl. I S. 2694), die zuletzt durch Artikel 106 der Verordnung vom 19. Juni 2020 (BGBl. I S. 1328) geändert worden ist, in der jeweils geltenden Fassung,</w:t>
      </w:r>
    </w:p>
    <w:p>
      <w:r>
        <w:t xml:space="preserve">4. nach § 16 Absatz 1 und 3 sowie § 18 Absatz 8 der Verordnung über die Beschaffenheit und die Auszeichnung der Qualitäten von Kraft- und Brennstoffen vom 8. Dezember 2010 (BGBl. I S. 1849), die zuletzt durch Artikel 1 der Verordnung vom 13. Dezember 2019 (BGBl. I S. 2739) geändert worden ist, in der jeweils geltenden Fassung,</w:t>
      </w:r>
    </w:p>
    <w:p>
      <w:r>
        <w:t xml:space="preserve">5. nach § 3 Absatz 2 Satz 1 der Verordnung über Emissionserklärungen in der Fassung der Bekanntmachung vom 5. März 2007 (BGBl. I S. 289), die zuletzt durch Artikel 2 der Verordnung vom 9. Januar 2017 (BGBl. I S. 42) geändert worden ist, in der jeweils geltenden Fassung, und</w:t>
      </w:r>
    </w:p>
    <w:p>
      <w:r>
        <w:t xml:space="preserve">6. für die Weiterleitung der Informationen an das Bundesministerium für Umwelt, Naturschutz, nukleare Sicherheit und Verbraucherschutz nach § 19 Absatz 4 Satz 1 und Absatz 5 Satz 1 der Störfall-Verordnung in der Fassung der Bekanntmachung vom 15. März 2017 (BGBl. I S. 483), die zuletzt durch Artikel 107 der Verordnung vom 19. Juni 2020 (BGBl. I S. 1328) geändert worden ist, in der jeweils geltenden Fassung.</w:t>
      </w:r>
    </w:p>
    <w:p>
      <w:r>
        <w:rPr>
          <w:color w:val="555555"/>
          <w:sz w:val="17"/>
        </w:rPr>
        <w:t xml:space="preserve">Zitiervorschlag: § 1 SN-20149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https://recht.nulegal.eu/gesetze/SN-20149/1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