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SN-19976 (Sachsen) — Bewertung der Prüfungsleistungen</w:t>
      </w:r>
    </w:p>
    <w:p>
      <w:r>
        <w:rPr>
          <w:color w:val="555555"/>
          <w:sz w:val="18"/>
        </w:rPr>
        <w:t xml:space="preserve">Sächsische Hygienekontrolle-Ausbildungs-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Prüfungsleistungen im schriftlichen und mündlichen Teil der Prüfung sind jeweils zu bewerten mit der Note:</w:t>
      </w:r>
    </w:p>
    <w:p>
      <w:r>
        <w:t xml:space="preserve">1. „sehr gut“ (1), wenn die Leistung den Anforderungen in besonderem Maße entspricht,</w:t>
      </w:r>
    </w:p>
    <w:p>
      <w:r>
        <w:t xml:space="preserve">2. „gut“ (2), wenn die Leistung den Anforderungen voll entspricht,</w:t>
      </w:r>
    </w:p>
    <w:p>
      <w:r>
        <w:t xml:space="preserve">3. „befriedigend“ (3), wenn die Leistung im Allgemeinen den Anforderungen entspricht,</w:t>
      </w:r>
    </w:p>
    <w:p>
      <w:r>
        <w:t xml:space="preserve">4. „ausreichend“ (4), wenn die Leistung zwar Mängel aufweist, aber im Ganzen den Anforderungen noch entspricht,</w:t>
      </w:r>
    </w:p>
    <w:p>
      <w:r>
        <w:t xml:space="preserve">5. „mangelhaft“ (5), wenn die Leistung den Anforderungen nicht entspricht, jedoch erkennen lässt, dass die notwendigen Grundkenntnisse vorhanden sind und die Mängel in absehbarer Zeit behoben werden können oder</w:t>
      </w:r>
    </w:p>
    <w:p>
      <w:r>
        <w:t xml:space="preserve">6. „ungenügend“ (6), wenn die Leistung den Anforderungen nicht entspricht und selbst die Grundkenntnisse so lückenhaft sind, dass die Mängel in absehbarer Zeit nicht behoben werden können.</w:t>
      </w:r>
    </w:p>
    <w:p>
      <w:r>
        <w:t xml:space="preserve">(2) Die erbrachte Leistung ist den Noten wie folgt zuzuordnen:</w:t>
      </w:r>
    </w:p>
    <w:p>
      <w:r>
        <w:t xml:space="preserve">1. 93 bis 100 Prozent der erwarteten Leistung entspricht der Note „sehr gut“,</w:t>
      </w:r>
    </w:p>
    <w:p>
      <w:r>
        <w:t xml:space="preserve">2. 80 bis unter 93 Prozent der erwarteten Leistung entspricht der Note „gut“,</w:t>
      </w:r>
    </w:p>
    <w:p>
      <w:r>
        <w:t xml:space="preserve">3. 65 bis unter 80 Prozent der erwarteten Leistung entspricht der Note „befriedigend“,</w:t>
      </w:r>
    </w:p>
    <w:p>
      <w:r>
        <w:t xml:space="preserve">4. 50 bis unter 65 Prozent der erwarteten Leistung entspricht der Note „ausreichend“,</w:t>
      </w:r>
    </w:p>
    <w:p>
      <w:r>
        <w:t xml:space="preserve">5. 37,5 bis unter 50 Prozent der erwarteten Leistung entspricht der Note „mangelhaft“,</w:t>
      </w:r>
    </w:p>
    <w:p>
      <w:r>
        <w:t xml:space="preserve">6. unter 37,5 Prozent der erwarteten Leistung entspricht der Note „ungenügend“.</w:t>
      </w:r>
    </w:p>
    <w:p>
      <w:r>
        <w:t xml:space="preserve">(3) Die Gesamtnote der Prüfung wird ermittelt, indem die Summe der Noten für die drei schriftlichen Aufsichtsarbeiten gemäß § 12 und für die vier Prüfungsthemen des mündlichen Teils der Prüfung gemäß § 13 durch sieben geteilt wird. Dabei lautet die Gesamtnote</w:t>
      </w:r>
    </w:p>
    <w:p>
      <w:r>
        <w:t xml:space="preserve">1. „sehr gut“ bei Werten unter 1,5,</w:t>
      </w:r>
    </w:p>
    <w:p>
      <w:r>
        <w:t xml:space="preserve">2. „gut“ bei Werten von 1,5 bis unter 2,5,</w:t>
      </w:r>
    </w:p>
    <w:p>
      <w:r>
        <w:t xml:space="preserve">3. „befriedigend“ bei Werten von 2,5 bis unter 3,5,</w:t>
      </w:r>
    </w:p>
    <w:p>
      <w:r>
        <w:t xml:space="preserve">4. „ausreichend“ bei Werten von 3,5 bis unter 4,5,</w:t>
      </w:r>
    </w:p>
    <w:p>
      <w:r>
        <w:t xml:space="preserve">5. „mangelhaft“ bei Werten von 4,5 bis unter 5,5 und</w:t>
      </w:r>
    </w:p>
    <w:p>
      <w:r>
        <w:t xml:space="preserve">6. „ungenügend“ bei Werten ab 5,5.</w:t>
      </w:r>
    </w:p>
    <w:p>
      <w:r>
        <w:rPr>
          <w:color w:val="555555"/>
          <w:sz w:val="17"/>
        </w:rPr>
        <w:t xml:space="preserve">Zitiervorschlag: § 14 SN-19976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https://recht.nulegal.eu/gesetze/SN-19976/14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