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SN-19811 (Sachsen) — Verwendung</w:t>
      </w:r>
    </w:p>
    <w:p>
      <w:r>
        <w:rPr>
          <w:color w:val="555555"/>
          <w:sz w:val="18"/>
        </w:rPr>
        <w:t xml:space="preserve">Gesetz über das Kommunale Energie- und Klimabudget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Zuweisungen können in die kommenden Haushaltsjahre übertragen werden und müssen bis zum 31. Dezember 2026 verausgabt sein.</w:t>
      </w:r>
    </w:p>
    <w:p>
      <w:r>
        <w:t xml:space="preserve">(2) Die Zuweisung ist entsprechend § 2 zu verwenden und kann zur Finanzierung einzelner Maßnahmen als Deckungsmittel, einschließlich des Ersatzes von Eigenmitteln, mit weiteren Drittmitteln kombiniert werden.</w:t>
      </w:r>
    </w:p>
    <w:p>
      <w:r>
        <w:rPr>
          <w:color w:val="555555"/>
          <w:sz w:val="17"/>
        </w:rPr>
        <w:t xml:space="preserve">Zitiervorschlag: § 4 SN-19811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https://recht.nulegal.eu/gesetze/SN-19811/4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