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SN-19811 (Sachsen) — Pauschale, zweckgebundene Zuweisung</w:t>
      </w:r>
    </w:p>
    <w:p>
      <w:r>
        <w:rPr>
          <w:color w:val="555555"/>
          <w:sz w:val="18"/>
        </w:rPr>
        <w:t xml:space="preserve">Gesetz über das Kommunale Energie- und Klimabudget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Landkreise und Kreisfreien Städte im Freistaat Sachsen erhalten in den Jahren 2023 und 2024 jeweils pauschale, zweckgebundene Zuweisungen in Höhe von 13 000 000 Euro (Klimabudgets).</w:t>
      </w:r>
    </w:p>
    <w:p>
      <w:r>
        <w:rPr>
          <w:color w:val="555555"/>
          <w:sz w:val="17"/>
        </w:rPr>
        <w:t xml:space="preserve">Zitiervorschlag: § 1 SN-19811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https://recht.nulegal.eu/gesetze/SN-19811/1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