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SN-19752 (Sachsen) — Teilflächen 2 (gelb) für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nicht bereits erfolgt, ist zur Unterbrechung des Wirkungspfads Boden – Mensch in den Teilflächen 2 (gelb) vom Grundstückseigentümer oder -nutzer eine geschlossene, dichte, langlebige Vegetation (zum Beispiel bodendeckende Gehölze, dichte Baum- und Strauchbestände mit Rindenmulchschicht oder eine dichte Grasnarbe) herzustellen. Bei künftig geplanten Nutzungen trifft diese Pflicht den Vorhabenträger.</w:t>
      </w:r>
    </w:p>
    <w:p>
      <w:r>
        <w:t xml:space="preserve">(2) Durch einfache Untersuchungen wie Prüfung auf Subnutzungen und der standörtlichen Expositionsfaktoren kann der Nachweis erbracht werden, dass keine Maßnahmen zur Unterbrechung des Wirkungspfad Boden – Mensch erforderlich sind.</w:t>
      </w:r>
    </w:p>
    <w:p>
      <w:r>
        <w:rPr>
          <w:color w:val="555555"/>
          <w:sz w:val="17"/>
        </w:rPr>
        <w:t xml:space="preserve">Zitiervorschlag: § 8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