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SN-19752 (Sachsen) — Nutzungsbezogene Maßnahmen zur Unterbrechung des Wirkungspfades Boden – Mensch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Maßnahmen zur Unterbrechung des Wirkungspfades Boden – Mensch werden differenziert nach den Nutzungsarten</w:t>
      </w:r>
    </w:p>
    <w:p>
      <w:r>
        <w:t xml:space="preserve">a) Kinderspielflächen,</w:t>
      </w:r>
    </w:p>
    <w:p>
      <w:r>
        <w:t xml:space="preserve">b) Wohngebiete,</w:t>
      </w:r>
    </w:p>
    <w:p>
      <w:r>
        <w:t xml:space="preserve">c) Park- und Freizeitanlagen,</w:t>
      </w:r>
    </w:p>
    <w:p>
      <w:r>
        <w:t xml:space="preserve">d) Industrie- und Gewerbegrundstücke</w:t>
      </w:r>
    </w:p>
    <w:p>
      <w:r>
        <w:t xml:space="preserve">festgelegt. Die untere Bodenschutzbehörde kann davon abweichend im Einzelfall Maßnahmen anordnen.</w:t>
      </w:r>
    </w:p>
    <w:p>
      <w:r>
        <w:t xml:space="preserve">(2) Für die Nutzungsarten Kinderspielflächen, Wohngebiete und Park- und Freizeitanlagen sind nach Anlage 2, Tabelle 1 in den Karten 2.1 bis 2.6 (Kinderspielflächen), 3.1 bis 3.6 (Wohngebiete), 4.1 bis 4.6 (Park- und Freizeitanlagen) des Kartenwerks vier Teilflächen mit festgelegten Verteilungskennwerten für die relevanten Schadstoffe ausgewiesen. Der Verdacht schädlicher Bodenveränderungen gilt in den</w:t>
      </w:r>
    </w:p>
    <w:p>
      <w:r>
        <w:t xml:space="preserve">a) Teilflächen 1 (grün) als ausgeräumt,</w:t>
      </w:r>
    </w:p>
    <w:p>
      <w:r>
        <w:t xml:space="preserve">b) Teilflächen 2 (gelb) als nicht vollständig ausgeräumt,</w:t>
      </w:r>
    </w:p>
    <w:p>
      <w:r>
        <w:t xml:space="preserve">c) Teilflächen 3 (ocker) als hinreichend bestätigt und</w:t>
      </w:r>
    </w:p>
    <w:p>
      <w:r>
        <w:t xml:space="preserve">d) Teilflächen 4 (rot) als abschließend bestätigt.</w:t>
      </w:r>
    </w:p>
    <w:p>
      <w:r>
        <w:t xml:space="preserve">Auf die Anlage 2, Tabelle 1, wird verwiesen. Innerhalb der Nutzungsarten sind Subnutzungen wie Nutzgärten oder Kinderspielflächen gesondert zu bewerten.</w:t>
      </w:r>
    </w:p>
    <w:p>
      <w:r>
        <w:t xml:space="preserve">(3) Soweit eine standortbezogene Detailuntersuchung nach § 9 Absatz 2 des Bundes-Bodenschutzgesetzes vorliegt, obliegt die Bewertung der unteren Bodenschutzbehörde, soweit keine Selbstbeteiligung nach § 2 Absatz 1 Nummer 15 der Verordnung des Sächsischen Staatsministeriums für Umwelt und Landwirtschaft über Zuständigkeiten bei der Durchführung von Vorschriften des Kreislaufwirtschafts- und Bodenschutzrechts vom 25. Juni 2019 (SächsGVBl. S. 573) gegeben ist. In diesem Fall entscheidet die obere Bodenschutzbehörde.</w:t>
      </w:r>
    </w:p>
    <w:p>
      <w:r>
        <w:t xml:space="preserve">(4) Sind Bodenversiegelung, Bodenauftrag oder Bodenaustausch oder Anpflanzung einer geschlossenen dichten, langlebigen Vegetation nicht möglich oder unzumutbar, hat der Grundstückseigentümer oder -nutzer Maßnahmen vorzunehmen, die Gefahren, erhebliche Nachteile oder erhebliche Belästigungen für den Einzelnen oder die Allgemeinheit verhindern oder vermindern, insbesondere Nutzungsanpassungen oder -änderungen in eine weniger sensible Nutzung.</w:t>
      </w:r>
    </w:p>
    <w:p>
      <w:r>
        <w:rPr>
          <w:color w:val="555555"/>
          <w:sz w:val="17"/>
        </w:rPr>
        <w:t xml:space="preserve">Zitiervorschlag: § 5 SN-19752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https://recht.nulegal.eu/gesetze/SN-19752/5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