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SN-19752 (Sachsen) — Maßnahmen zur Unterbrechung des Wirkungspfades Boden – Pflanze – Mensch in privaten Nutzgärten</w:t>
      </w:r>
    </w:p>
    <w:p>
      <w:r>
        <w:rPr>
          <w:color w:val="555555"/>
          <w:sz w:val="18"/>
        </w:rPr>
        <w:t xml:space="preserve">Verordnung der Landesdirektion Sachsen zur Festlegung des Bodenplanungsgebietes Raum Annaberg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Grundstückseigentümer oder Nutzer hat sicherzustellen, dass durch den Schadstoffübergang vom Boden in die Nutzpflanze keine Gefährdungen oder erheblichen Nachteile für den Einzelnen oder die Allgemeinheit entstehen.</w:t>
      </w:r>
    </w:p>
    <w:p>
      <w:r>
        <w:t xml:space="preserve">Auf die Anbauempfehlungen für Obst- und Gemüseanbau in „Hinweise und Empfehlungen zum Umgang mit arsen- und schwermetallbelasteten landwirtschaftlich und gärtnerisch genutzten Böden, Staatliche Betriebsgesellschaft für Umwelt und Landwirtschaft, Nossen, August 2021“ wird verwiesen.</w:t>
      </w:r>
    </w:p>
    <w:p>
      <w:r>
        <w:rPr>
          <w:color w:val="555555"/>
          <w:sz w:val="17"/>
        </w:rPr>
        <w:t xml:space="preserve">Zitiervorschlag: § 12 SN-19752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https://recht.nulegal.eu/gesetze/SN-19752/12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