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SN-19752 (Sachsen) — Anwendungsbereich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legt ein Gebiet mit erhöhten Schadstoffgehalten in Böden im Raum Annaberg fest und regelt gebietsbezogene Maßnahmen und Anforderungen des Bodenschutzes.</w:t>
      </w:r>
    </w:p>
    <w:p>
      <w:r>
        <w:t xml:space="preserve">(2) Keine Anwendung findet die Verordnung auf</w:t>
      </w:r>
    </w:p>
    <w:p>
      <w:r>
        <w:t xml:space="preserve">a) Altlasten nach § 2 Absatz 5 des Bundes-Bodenschutzgesetzes vom 17. März 1998 (BGBl. I S. 502), das zuletzt durch Artikel 7 des Gesetzes vom 25. Februar 2021 (BGBl. I S. 306) geändert worden ist,</w:t>
      </w:r>
    </w:p>
    <w:p>
      <w:r>
        <w:t xml:space="preserve">b) altlastenverdächtige Flächen nach § 2 Absatz 6 des Bundes-Bodenschutzgesetzes ,</w:t>
      </w:r>
    </w:p>
    <w:p>
      <w:r>
        <w:t xml:space="preserve">c) Verdachtsflächen nach § 2 Absatz 4 des Bundes-Bodenschutzgesetzes und Flächen mit schädlichen Bodenveränderungen nach § 2 Absatz 3 des Bundes-Bodenschutzgesetzes , soweit deren Belastung nicht durch die Schadstoffe Arsen, Blei oder Cadmium hervorgerufen worden ist.</w:t>
      </w:r>
    </w:p>
    <w:p>
      <w:r>
        <w:rPr>
          <w:color w:val="555555"/>
          <w:sz w:val="17"/>
        </w:rPr>
        <w:t xml:space="preserve">Zitiervorschlag: § 1 SN-19752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https://recht.nulegal.eu/gesetze/SN-19752/1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