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SN-19699 (Sachsen)</w:t>
      </w:r>
    </w:p>
    <w:p>
      <w:r>
        <w:rPr>
          <w:color w:val="555555"/>
          <w:sz w:val="18"/>
        </w:rPr>
        <w:t xml:space="preserve">Sächsisches Transparenzgesetz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erlassen als Artikel 1 des Gesetzes zur Einführung des Gesetzes über die Transparenz von Informationen im Freistaat Sachsen</w:t>
      </w:r>
    </w:p>
    <w:p>
      <w:r>
        <w:t xml:space="preserve">Vom 19. August 2022</w:t>
      </w:r>
    </w:p>
    <w:p>
      <w:r>
        <w:t xml:space="preserve">Rechtsbereinigt mit Stand vom 28. Dezember 2025</w:t>
      </w:r>
    </w:p>
    <w:p>
      <w:r>
        <w:rPr>
          <w:color w:val="555555"/>
          <w:sz w:val="17"/>
        </w:rPr>
        <w:t xml:space="preserve">Zitiervorschlag: Eingangsformel SN-19699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https://recht.nulegal.eu/gesetze/SN-19699/eingangsformel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