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SN-19699 (Sachsen) — Informationen</w:t>
      </w:r>
    </w:p>
    <w:p>
      <w:r>
        <w:rPr>
          <w:color w:val="555555"/>
          <w:sz w:val="18"/>
        </w:rPr>
        <w:t xml:space="preserve">Sächsisches Transparenzgesetz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Informationen sind Aufzeichnungen, die dienstlichen Zwecken dienen, unabhängig von der Art ihrer Speicherung. Entwürfe, Notizen, behördeninterne Kommunikation und Vermerke sowie Umweltinformationen nach § 3 Absatz 2 des Sächsischen Umweltinformationsgesetzes vom 1. Juni 2006 (SächsGVBl. S. 146), das zuletzt durch Artikel 2 Absatz 25 des Gesetzes vom 5. April 2019 (SächsGVBl. S. 245) geändert worden ist, in der jeweils geltenden Fassung, gehören nicht dazu.</w:t>
      </w:r>
    </w:p>
    <w:p>
      <w:r>
        <w:rPr>
          <w:color w:val="555555"/>
          <w:sz w:val="17"/>
        </w:rPr>
        <w:t xml:space="preserve">Zitiervorschlag: § 3 SN-19699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https://recht.nulegal.eu/gesetze/SN-19699/3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