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SN-19699 (Sachsen) — Einschränkung eines Grundrechts</w:t>
      </w:r>
    </w:p>
    <w:p>
      <w:r>
        <w:rPr>
          <w:color w:val="555555"/>
          <w:sz w:val="18"/>
        </w:rPr>
        <w:t xml:space="preserve">Sächsisches Transparenzgesetz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dieses Gesetzes kann das Grundrecht auf informationelle Selbstbestimmung (Artikel 33 der Verfassung des Freistaates Sachsen ) eingeschränkt werden.</w:t>
      </w:r>
    </w:p>
    <w:p>
      <w:r>
        <w:rPr>
          <w:color w:val="555555"/>
          <w:sz w:val="17"/>
        </w:rPr>
        <w:t xml:space="preserve">Zitiervorschlag: § 18 SN-19699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https://recht.nulegal.eu/gesetze/SN-19699/18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