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SN-19699 (Sachsen) — Vorverfahren und Rechtsweg</w:t>
      </w:r>
    </w:p>
    <w:p>
      <w:r>
        <w:rPr>
          <w:color w:val="555555"/>
          <w:sz w:val="18"/>
        </w:rPr>
        <w:t xml:space="preserve">Sächsisches Transparenzgesetz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Widerspruch entscheidet die transparenzpflichtige Stelle, die den Bescheid erlassen hat. Ein Widerspruchsverfahren ist auch dann durchzuführen, wenn die Entscheidung von einer obersten Staatsbehörde getroffen wurde.</w:t>
      </w:r>
    </w:p>
    <w:p>
      <w:r>
        <w:t xml:space="preserve">(2) Die §§ 32e und 32i der Abgabenordnung in der Fassung der Bekanntmachung vom 1. Oktober 2002 (BGBl. I S. 3866; 2003 I S. 61), die zuletzt durch Artikel 33 des Gesetzes vom 5. Oktober 2021 (BGBl. I S. 4607) geändert worden ist, in der jeweils geltenden Fassung, bleiben unberührt.</w:t>
      </w:r>
    </w:p>
    <w:p>
      <w:r>
        <w:rPr>
          <w:color w:val="555555"/>
          <w:sz w:val="17"/>
        </w:rPr>
        <w:t xml:space="preserve">Zitiervorschlag: § 16 SN-19699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https://recht.nulegal.eu/gesetze/SN-19699/16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