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SN-19699 (Sachsen) — Antragstellung</w:t>
      </w:r>
    </w:p>
    <w:p>
      <w:r>
        <w:rPr>
          <w:color w:val="555555"/>
          <w:sz w:val="18"/>
        </w:rPr>
        <w:t xml:space="preserve">Sächsisches Transparenzgesetz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Antrag auf Zugang zu Informationen kann in Schriftform, Textform, elektronischer Form, zur Niederschrift bei der transparenzpflichtigen Stelle oder über die Transparenzplattform gestellt werden. Ist die angerufene transparenzpflichtige Stelle nicht zuständig, informiert sie die Antragstellerin oder den Antragsteller und leitet den Antrag an die transparenzpflichtige Stelle weiter.</w:t>
      </w:r>
    </w:p>
    <w:p>
      <w:r>
        <w:t xml:space="preserve">(2) Der Antrag muss Namen und Adresse der Antragstellerin oder des Antragstellers enthalten und die begehrten Informationen bezeichnen. Die Antragstellerin oder der Antragsteller hat einen Anspruch auf Unterstützung bei der Antragstellung durch die angerufene transparenzpflichtige Stelle. Ist der Antrag zu unbestimmt, hat die transparenzpflichtige Stelle dies der Antragstellerin oder dem Antragsteller mitzuteilen und Gelegenheit zur Präzisierung zu geben.</w:t>
      </w:r>
    </w:p>
    <w:p>
      <w:r>
        <w:t xml:space="preserve">(3) Betrifft ein Antrag schutzwürdige Belange Dritter, soll er begründet und ein berechtigtes Interesse an der Information geltend gemacht werden. In der Begründung sollen die besonderen Umstände des Einzelfalls dargelegt werden, auf die sich das berechtigte Interesse der Antragstellerin oder des Antragstellers stützt. Soweit ein berechtigtes Interesse nicht dargelegt wird oder sich aus den dargelegten Umständen nicht ergibt, dass dieses die schutzwürdigen Belange Dritter überwiegt, soll der Antrag abgelehnt werden.</w:t>
      </w:r>
    </w:p>
    <w:p>
      <w:r>
        <w:rPr>
          <w:color w:val="555555"/>
          <w:sz w:val="17"/>
        </w:rPr>
        <w:t xml:space="preserve">Zitiervorschlag: § 10 SN-19699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https://recht.nulegal.eu/gesetze/SN-19699/10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