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SN-19699 (Sachsen) — Anspruch auf Transparenz</w:t>
      </w:r>
    </w:p>
    <w:p>
      <w:r>
        <w:rPr>
          <w:color w:val="555555"/>
          <w:sz w:val="18"/>
        </w:rPr>
        <w:t xml:space="preserve">Sächsisches Transparenzgesetz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 Person hat gegen die transparenzpflichtigen Stellen einen Anspruch auf Veröffentlichung der in § 8 genannten Informationen und auf Zugang zu Informationen, soweit keine Ausnahme gilt (Transparenzanspruch).</w:t>
      </w:r>
    </w:p>
    <w:p>
      <w:r>
        <w:t xml:space="preserve">(2) Weitergehende Transparenzverpflichtungen und weitergehende Ansprüche auf Akteneinsicht oder Information nach anderen Vorschriften bleiben von diesem Gesetz unberührt.</w:t>
      </w:r>
    </w:p>
    <w:p>
      <w:r>
        <w:t xml:space="preserve">(3) Transparenz und Offenheit sind Leitlinien für das Handeln der Verwaltung. Sie finden ihre Grenze in den entgegenstehenden schutzwürdigen öffentlichen und privaten Belangen.</w:t>
      </w:r>
    </w:p>
    <w:p>
      <w:r>
        <w:rPr>
          <w:color w:val="555555"/>
          <w:sz w:val="17"/>
        </w:rPr>
        <w:t xml:space="preserve">Zitiervorschlag: § 1 SN-19699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https://recht.nulegal.eu/gesetze/SN-19699/1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