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SN-19639 (Sachsen) — Inkrafttreten</w:t>
      </w:r>
    </w:p>
    <w:p>
      <w:r>
        <w:rPr>
          <w:color w:val="555555"/>
          <w:sz w:val="18"/>
        </w:rPr>
        <w:t xml:space="preserve">Verordnung der Landesdirektion Sachsen zur Festsetzung des Hochwasserentstehungsgebietes „Schwarzwasser“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Ablauf der Auslegungsfrist (vergleiche § 3 Absatz 1) in Kraft.</w:t>
      </w:r>
    </w:p>
    <w:p>
      <w:r>
        <w:t xml:space="preserve">Chemnitz, den 13. Mai 2022</w:t>
      </w:r>
    </w:p>
    <w:p>
      <w:r>
        <w:t xml:space="preserve">Landesdirektion Sachsen</w:t>
      </w:r>
    </w:p>
    <w:p>
      <w:r>
        <w:t xml:space="preserve">Kraushaar</w:t>
      </w:r>
    </w:p>
    <w:p>
      <w:r>
        <w:t xml:space="preserve">Präsidentin</w:t>
      </w:r>
    </w:p>
    <w:p>
      <w:r>
        <w:rPr>
          <w:color w:val="555555"/>
          <w:sz w:val="17"/>
        </w:rPr>
        <w:t xml:space="preserve">Zitiervorschlag: § 4 SN-19639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https://recht.nulegal.eu/gesetze/SN-19639/4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