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SN-19472 (Sachsen)</w:t>
      </w:r>
    </w:p>
    <w:p>
      <w:r>
        <w:rPr>
          <w:color w:val="555555"/>
          <w:sz w:val="18"/>
        </w:rPr>
        <w:t xml:space="preserve">Gesetz zum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21. Dezember 2021 das folgende Gesetz beschlossen:</w:t>
      </w:r>
    </w:p>
    <w:p>
      <w:r>
        <w:t xml:space="preserve">(berichtigt vom 4. April 2022 [SächsABl. S. 293])</w:t>
      </w:r>
    </w:p>
    <w:p>
      <w:r>
        <w:rPr>
          <w:color w:val="555555"/>
          <w:sz w:val="17"/>
        </w:rPr>
        <w:t xml:space="preserve">Zitiervorschlag: Eingangsformel SN-19472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https://recht.nulegal.eu/gesetze/SN-19472/eingangsformel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