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SN-19472 (Sachsen) — Inkrafttreten</w:t>
      </w:r>
    </w:p>
    <w:p>
      <w:r>
        <w:rPr>
          <w:color w:val="555555"/>
          <w:sz w:val="18"/>
        </w:rPr>
        <w:t xml:space="preserve">Gesetz zum Staatsvertrag über die Errichtung und den Betrieb des elektronischen Gesundheitsberuferegisters als gemeinsame Stelle der Länder zur Ausgabe elektronischer Heilberufs- und Berufsausweise sowie zur Herausgabe der Komponenten zur Authentifizierung von Leistungserbringerinstitutionen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Die Staatskanzlei macht im Sächsischen Gesetz- und Verordnungsblatt den Tag bekannt, an dem der Staatsvertrag nach seinem Artikel 11 Absatz 3 in Kraft getreten ist.</w:t>
      </w:r>
    </w:p>
    <w:p>
      <w:r>
        <w:t xml:space="preserve">Dresden, den 21. Dezember 2021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Die Staatsministerin für Soziales und Gesellschaftlichen Zusammenhalt</w:t>
      </w:r>
    </w:p>
    <w:p>
      <w:r>
        <w:t xml:space="preserve">Petra Köpping</w:t>
      </w:r>
    </w:p>
    <w:p>
      <w:r>
        <w:rPr>
          <w:color w:val="555555"/>
          <w:sz w:val="17"/>
        </w:rPr>
        <w:t xml:space="preserve">Zitiervorschlag: Artikel 2 SN-19472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https://recht.nulegal.eu/gesetze/SN-19472/2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